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6E7A" w:rsidRPr="00CE6E7A" w:rsidRDefault="00CE6E7A" w:rsidP="00CE6E7A">
      <w:pPr>
        <w:spacing w:after="0" w:line="360" w:lineRule="auto"/>
        <w:jc w:val="center"/>
        <w:rPr>
          <w:rFonts w:asciiTheme="majorHAnsi" w:hAnsiTheme="majorHAnsi" w:cs="Times New Roman"/>
        </w:rPr>
      </w:pPr>
      <w:r w:rsidRPr="00CE6E7A">
        <w:rPr>
          <w:rFonts w:asciiTheme="majorHAnsi" w:hAnsiTheme="majorHAnsi" w:cs="Times New Roman"/>
        </w:rPr>
        <w:t>Focus on hand hygiene</w:t>
      </w:r>
    </w:p>
    <w:p w:rsidR="005215C1" w:rsidRPr="00CE6E7A" w:rsidRDefault="00CE6E7A" w:rsidP="00CE6E7A">
      <w:pPr>
        <w:spacing w:line="360" w:lineRule="auto"/>
        <w:rPr>
          <w:rFonts w:asciiTheme="majorHAnsi" w:hAnsiTheme="majorHAnsi" w:cs="Times New Roman"/>
          <w:color w:val="000000"/>
        </w:rPr>
      </w:pPr>
      <w:r w:rsidRPr="00CE6E7A">
        <w:rPr>
          <w:rFonts w:asciiTheme="majorHAnsi" w:hAnsiTheme="majorHAnsi" w:cs="Times New Roman"/>
        </w:rPr>
        <w:t xml:space="preserve">Nosocomial infections are a leading cause of morbidity and mortality in healthcare. HealthyPeople2020 has focused on the goal of </w:t>
      </w:r>
      <w:r w:rsidRPr="00CE6E7A">
        <w:rPr>
          <w:rFonts w:asciiTheme="majorHAnsi" w:hAnsiTheme="majorHAnsi" w:cs="Times New Roman"/>
          <w:color w:val="000000"/>
        </w:rPr>
        <w:t>preventing, reducing, and ultimately eliminating healthcare-associated infections (U.S. Department of Health and Human Services, 2015).</w:t>
      </w:r>
      <w:r w:rsidRPr="00CE6E7A">
        <w:rPr>
          <w:rFonts w:asciiTheme="majorHAnsi" w:hAnsiTheme="majorHAnsi" w:cs="Arial"/>
          <w:color w:val="000000"/>
        </w:rPr>
        <w:t xml:space="preserve"> </w:t>
      </w:r>
      <w:r w:rsidRPr="00CE6E7A">
        <w:rPr>
          <w:rFonts w:asciiTheme="majorHAnsi" w:hAnsiTheme="majorHAnsi" w:cs="Times New Roman"/>
        </w:rPr>
        <w:t xml:space="preserve"> Healthcare acquired infections or </w:t>
      </w:r>
      <w:r w:rsidRPr="00CE6E7A">
        <w:rPr>
          <w:rFonts w:asciiTheme="majorHAnsi" w:hAnsiTheme="majorHAnsi" w:cs="Times New Roman"/>
          <w:color w:val="000000"/>
        </w:rPr>
        <w:t>HAIs are the most common complications of a hospital encounter affecting at least one out of every 25 hospitalized people. HAIs cost healthcare organizations billions of dollars each year and cause the death of tens of thousands of patients. The primary way to reduce HAIs is the implementation of hand hygiene techniques.  Multiple literature sources have documented the importance of hand hygiene and still the compliance rate among healthcare employees remain</w:t>
      </w:r>
      <w:r w:rsidRPr="00CE6E7A">
        <w:rPr>
          <w:rFonts w:asciiTheme="majorHAnsi" w:hAnsiTheme="majorHAnsi" w:cs="Times New Roman"/>
          <w:color w:val="000000"/>
        </w:rPr>
        <w:t xml:space="preserve"> low.</w:t>
      </w:r>
    </w:p>
    <w:p w:rsidR="00CE6E7A" w:rsidRPr="00CE6E7A" w:rsidRDefault="00CE6E7A" w:rsidP="00CE6E7A">
      <w:pPr>
        <w:spacing w:after="0" w:line="360" w:lineRule="auto"/>
        <w:jc w:val="center"/>
        <w:rPr>
          <w:rFonts w:asciiTheme="majorHAnsi" w:hAnsiTheme="majorHAnsi" w:cs="Times New Roman"/>
          <w:b/>
        </w:rPr>
      </w:pPr>
      <w:r w:rsidRPr="00CE6E7A">
        <w:rPr>
          <w:rFonts w:asciiTheme="majorHAnsi" w:hAnsiTheme="majorHAnsi" w:cs="Times New Roman"/>
          <w:b/>
        </w:rPr>
        <w:t>Change Model Overview</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The John Hopkins Nursing Evidence-Based Practice model is a powerful tool with a focus on incorporating the latest research and best practices into patient care. This model uses a simplified approach to assist nurses.  This is a </w:t>
      </w:r>
      <w:bookmarkStart w:id="0" w:name="_GoBack"/>
      <w:bookmarkEnd w:id="0"/>
      <w:r w:rsidRPr="00CE6E7A">
        <w:rPr>
          <w:rFonts w:asciiTheme="majorHAnsi" w:hAnsiTheme="majorHAnsi" w:cs="Times New Roman"/>
        </w:rPr>
        <w:t>three-step</w:t>
      </w:r>
      <w:r w:rsidRPr="00CE6E7A">
        <w:rPr>
          <w:rFonts w:asciiTheme="majorHAnsi" w:hAnsiTheme="majorHAnsi" w:cs="Times New Roman"/>
        </w:rPr>
        <w:t xml:space="preserve"> process called PET: Practice question, Evidence, and Translation.  This process allows nurses to use it in a variety of settings from an individual patient to a population or even organizational level.</w:t>
      </w:r>
    </w:p>
    <w:p w:rsidR="00CE6E7A" w:rsidRPr="00CE6E7A" w:rsidRDefault="00CE6E7A" w:rsidP="00CE6E7A">
      <w:pPr>
        <w:spacing w:after="0" w:line="360" w:lineRule="auto"/>
        <w:jc w:val="center"/>
        <w:rPr>
          <w:rFonts w:asciiTheme="majorHAnsi" w:hAnsiTheme="majorHAnsi" w:cs="Times New Roman"/>
          <w:b/>
        </w:rPr>
      </w:pPr>
      <w:r w:rsidRPr="00CE6E7A">
        <w:rPr>
          <w:rFonts w:asciiTheme="majorHAnsi" w:hAnsiTheme="majorHAnsi" w:cs="Times New Roman"/>
          <w:b/>
        </w:rPr>
        <w:t>Practice Question</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 1: Recruit Inter-professional Team</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rPr>
        <w:t xml:space="preserve">An interdisciplinary approach to a team is the best approach to enhance knowledge and compliance. In this team several team members will provide valuable insight to current practices, the best way to effect change and the most cost effective method to implement.  The staff nurse is vital because they are on the “front lines” living the change and having direct contact with the patients.  The Infection Prevention and Epidemiology team member provides current numbers and statistics and will contribute to the knowledge base and outcomes. The Clinical Nurse Specialist adds value due to the knowledge and leadership role and hands on approach with staff. A member of the medical staff is important to include because along with direct patient care they are providing the follow-up care for those affected and medical staff buy in is necessary. Senior management will ultimately have the final voice regarding the finances needed to conduct a study and implement the change. A member of nursing administration will assist in implementing effectual change and allowing the team to conduct research and evaluation. The Patient Safety Coordinator works to help outcomes.  A member from the </w:t>
      </w:r>
      <w:r w:rsidRPr="00CE6E7A">
        <w:rPr>
          <w:rFonts w:asciiTheme="majorHAnsi" w:hAnsiTheme="majorHAnsi" w:cs="Times New Roman"/>
        </w:rPr>
        <w:lastRenderedPageBreak/>
        <w:t>pharmacy/lab departments will add an extra</w:t>
      </w:r>
      <w:r w:rsidRPr="00CE6E7A">
        <w:rPr>
          <w:rFonts w:asciiTheme="majorHAnsi" w:hAnsiTheme="majorHAnsi" w:cs="Times New Roman"/>
        </w:rPr>
        <w:t xml:space="preserve"> insight.</w:t>
      </w:r>
      <w:r w:rsidRPr="00CE6E7A">
        <w:rPr>
          <w:rFonts w:asciiTheme="majorHAnsi" w:hAnsiTheme="majorHAnsi" w:cs="Times New Roman"/>
          <w:b/>
        </w:rPr>
        <w:t xml:space="preserve"> </w:t>
      </w:r>
      <w:r w:rsidRPr="00CE6E7A">
        <w:rPr>
          <w:rFonts w:asciiTheme="majorHAnsi" w:hAnsiTheme="majorHAnsi" w:cs="Times New Roman"/>
          <w:b/>
        </w:rPr>
        <w:t>Step 2: Develop and Refine the EBP Question</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Can nurses reduce nosocomial infection through hand hygiene compliance and how important is hand hygiene at reducing nosocomial infections?</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The patient, population or problem (P) in this scenario is the risk of nosocomial infection. The intervention (I) is hand hygiene.  The comparison (C) is actual compliance to hand hygiene versus optimal compliance to standard precautions.  The outcome (O) is what the studies show in regards to reducing nosocomial infections and hand hygiene. </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 xml:space="preserve">Step 3: Define the Scope of the EBP </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HAIs </w:t>
      </w:r>
      <w:r w:rsidRPr="00CE6E7A">
        <w:rPr>
          <w:rFonts w:asciiTheme="majorHAnsi" w:hAnsiTheme="majorHAnsi" w:cs="Times New Roman"/>
          <w:color w:val="000000"/>
        </w:rPr>
        <w:t>are the most common complications of a hospital encounter affecting at least one out of every 25 hospitalized people and costing healthcare organizations billions of dollars each year. HAIs cause the death of tens of thousands of patients. Research has shown that hand hygiene plays a vital role in reducing HAIs, yet compliance among healthcare workers (HCWs) remains poor. HCWs cite many reasons for noncompliance including distractions and forgetting, wearing of gloves, ineffective placement of cleansers and sinks and insufficient education.</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Steps 4 and 5: Determine Responsibility of Team Members</w:t>
      </w:r>
    </w:p>
    <w:p w:rsidR="00CE6E7A" w:rsidRPr="00CE6E7A" w:rsidRDefault="00CE6E7A" w:rsidP="00CE6E7A">
      <w:pPr>
        <w:spacing w:after="0" w:line="360" w:lineRule="auto"/>
        <w:jc w:val="center"/>
        <w:rPr>
          <w:rFonts w:asciiTheme="majorHAnsi" w:hAnsiTheme="majorHAnsi" w:cs="Times New Roman"/>
          <w:b/>
        </w:rPr>
      </w:pPr>
      <w:r w:rsidRPr="00CE6E7A">
        <w:rPr>
          <w:rFonts w:asciiTheme="majorHAnsi" w:hAnsiTheme="majorHAnsi" w:cs="Times New Roman"/>
        </w:rPr>
        <w:t>The members chosen for this team each bring a different role and responsibility to the team.  Some members will provide a fiscal insight (senior management) and keep budgetary concerns in check. Others provide the authority (nursing administration and senior management) needed to formulate the team, allowing members time away for their normal duties to devote time to research, implementation and outcomes.  Several (staff nurse, medical personnel) provide a “hands on” role to explain what methods are feasible to implement and what may not be feasible. The clinical Nurse Specialist and Infection Prevention team members bring experience with research and statistics.  Each team member provides and knowledge base and expert role for their specialty and when compiled together are able to formulate the best plan to achieve the desired</w:t>
      </w:r>
      <w:r w:rsidRPr="00CE6E7A">
        <w:rPr>
          <w:rFonts w:asciiTheme="majorHAnsi" w:hAnsiTheme="majorHAnsi" w:cs="Times New Roman"/>
        </w:rPr>
        <w:t xml:space="preserve"> outcome.</w:t>
      </w:r>
      <w:r w:rsidRPr="00CE6E7A">
        <w:rPr>
          <w:rFonts w:asciiTheme="majorHAnsi" w:hAnsiTheme="majorHAnsi" w:cs="Times New Roman"/>
          <w:b/>
        </w:rPr>
        <w:t xml:space="preserve"> </w:t>
      </w:r>
      <w:r w:rsidRPr="00CE6E7A">
        <w:rPr>
          <w:rFonts w:asciiTheme="majorHAnsi" w:hAnsiTheme="majorHAnsi" w:cs="Times New Roman"/>
          <w:b/>
        </w:rPr>
        <w:t>Evidence</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Steps 6 and 7: Conduct Internal/ External Search for Evidence and Appraisal of Evidence</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Upon evaluation, it is found that hand hygiene compliances rates are significantly lower than expected both nationwide and internally within the organization. Practice guidelines are very clearly distinguished within the organization based on evidence provided from multiple sources including the Centers for Disease Control, Joint Commission, World Health Organization and HealthyPeople2020.  All of these expert sources have issued similar statements in regards to the importance of hand hygiene compliance with the aim of reducing nosocomial infection rates.  The organization has adopted similar goals.  </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Multiple forms of </w:t>
      </w:r>
      <w:proofErr w:type="gramStart"/>
      <w:r w:rsidRPr="00CE6E7A">
        <w:rPr>
          <w:rFonts w:asciiTheme="majorHAnsi" w:hAnsiTheme="majorHAnsi" w:cs="Times New Roman"/>
        </w:rPr>
        <w:t>evidence based</w:t>
      </w:r>
      <w:proofErr w:type="gramEnd"/>
      <w:r w:rsidRPr="00CE6E7A">
        <w:rPr>
          <w:rFonts w:asciiTheme="majorHAnsi" w:hAnsiTheme="majorHAnsi" w:cs="Times New Roman"/>
        </w:rPr>
        <w:t xml:space="preserve"> literature are available regarding the topic of hand hygiene compliance including systematic reviews, controlled trials, proof of concepts and various others.  Both qualitative and quantitative data is available.  While some of the literature is slightly outdated in relation to a strong source, the conclusions drawn from that research continue to remain the same with no pertinent changes to practice having been identified in more recent years.</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The information available is generally peer reviewed and written by experts in the field with nothing to gain for the presentation of their research.</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 xml:space="preserve">Steps 8 and 9: Summarize the Evidence </w:t>
      </w:r>
    </w:p>
    <w:p w:rsidR="00CE6E7A" w:rsidRPr="00CE6E7A" w:rsidRDefault="00CE6E7A" w:rsidP="00CE6E7A">
      <w:pPr>
        <w:spacing w:line="360" w:lineRule="auto"/>
        <w:rPr>
          <w:rFonts w:asciiTheme="majorHAnsi" w:hAnsiTheme="majorHAnsi" w:cs="Times New Roman"/>
        </w:rPr>
      </w:pPr>
      <w:r w:rsidRPr="00CE6E7A">
        <w:rPr>
          <w:rFonts w:asciiTheme="majorHAnsi" w:hAnsiTheme="majorHAnsi" w:cs="Times New Roman"/>
        </w:rPr>
        <w:t xml:space="preserve">There are two main components of pathogen transmission that can be linked to HCWs behavior.  These are compliance to hand hygiene protocols and contacts between HCWs that may lead to transmission. The gold standard for investigating compliance remains direct observation </w:t>
      </w:r>
      <w:sdt>
        <w:sdtPr>
          <w:rPr>
            <w:rFonts w:asciiTheme="majorHAnsi" w:hAnsiTheme="majorHAnsi" w:cs="Times New Roman"/>
          </w:rPr>
          <w:id w:val="1200974027"/>
          <w:citation/>
        </w:sdtPr>
        <w:sdtContent>
          <w:r w:rsidRPr="00CE6E7A">
            <w:rPr>
              <w:rFonts w:asciiTheme="majorHAnsi" w:hAnsiTheme="majorHAnsi" w:cs="Times New Roman"/>
            </w:rPr>
            <w:fldChar w:fldCharType="begin"/>
          </w:r>
          <w:r w:rsidRPr="00CE6E7A">
            <w:rPr>
              <w:rFonts w:asciiTheme="majorHAnsi" w:hAnsiTheme="majorHAnsi" w:cs="Times New Roman"/>
            </w:rPr>
            <w:instrText xml:space="preserve"> CITATION Mas15 \l 1033 </w:instrText>
          </w:r>
          <w:r w:rsidRPr="00CE6E7A">
            <w:rPr>
              <w:rFonts w:asciiTheme="majorHAnsi" w:hAnsiTheme="majorHAnsi" w:cs="Times New Roman"/>
            </w:rPr>
            <w:fldChar w:fldCharType="separate"/>
          </w:r>
          <w:r w:rsidRPr="00CE6E7A">
            <w:rPr>
              <w:rFonts w:asciiTheme="majorHAnsi" w:hAnsiTheme="majorHAnsi" w:cs="Times New Roman"/>
              <w:noProof/>
            </w:rPr>
            <w:t>(Mastrandrea, Soto-Aladro, Brouqui, &amp; Barrat, 2015)</w:t>
          </w:r>
          <w:r w:rsidRPr="00CE6E7A">
            <w:rPr>
              <w:rFonts w:asciiTheme="majorHAnsi" w:hAnsiTheme="majorHAnsi" w:cs="Times New Roman"/>
            </w:rPr>
            <w:fldChar w:fldCharType="end"/>
          </w:r>
        </w:sdtContent>
      </w:sdt>
      <w:r w:rsidRPr="00CE6E7A">
        <w:rPr>
          <w:rFonts w:asciiTheme="majorHAnsi" w:hAnsiTheme="majorHAnsi" w:cs="Times New Roman"/>
        </w:rPr>
        <w:t xml:space="preserve"> with other literature supporting this. The most effective method of hand hygiene with the highest compliance rate is an alcohol-based hand rub </w:t>
      </w:r>
      <w:sdt>
        <w:sdtPr>
          <w:rPr>
            <w:rFonts w:asciiTheme="majorHAnsi" w:hAnsiTheme="majorHAnsi" w:cs="Times New Roman"/>
          </w:rPr>
          <w:id w:val="-467045469"/>
          <w:citation/>
        </w:sdtPr>
        <w:sdtContent>
          <w:r w:rsidRPr="00CE6E7A">
            <w:rPr>
              <w:rFonts w:asciiTheme="majorHAnsi" w:hAnsiTheme="majorHAnsi" w:cs="Times New Roman"/>
            </w:rPr>
            <w:fldChar w:fldCharType="begin"/>
          </w:r>
          <w:r w:rsidRPr="00CE6E7A">
            <w:rPr>
              <w:rFonts w:asciiTheme="majorHAnsi" w:hAnsiTheme="majorHAnsi" w:cs="Times New Roman"/>
            </w:rPr>
            <w:instrText xml:space="preserve"> CITATION Wil04 \l 1033 </w:instrText>
          </w:r>
          <w:r w:rsidRPr="00CE6E7A">
            <w:rPr>
              <w:rFonts w:asciiTheme="majorHAnsi" w:hAnsiTheme="majorHAnsi" w:cs="Times New Roman"/>
            </w:rPr>
            <w:fldChar w:fldCharType="separate"/>
          </w:r>
          <w:r w:rsidRPr="00CE6E7A">
            <w:rPr>
              <w:rFonts w:asciiTheme="majorHAnsi" w:hAnsiTheme="majorHAnsi" w:cs="Times New Roman"/>
              <w:noProof/>
            </w:rPr>
            <w:t>(Picheansathian, 2004)</w:t>
          </w:r>
          <w:r w:rsidRPr="00CE6E7A">
            <w:rPr>
              <w:rFonts w:asciiTheme="majorHAnsi" w:hAnsiTheme="majorHAnsi" w:cs="Times New Roman"/>
            </w:rPr>
            <w:fldChar w:fldCharType="end"/>
          </w:r>
        </w:sdtContent>
      </w:sdt>
      <w:proofErr w:type="gramStart"/>
      <w:r w:rsidRPr="00CE6E7A">
        <w:rPr>
          <w:rFonts w:asciiTheme="majorHAnsi" w:hAnsiTheme="majorHAnsi" w:cs="Times New Roman"/>
        </w:rPr>
        <w:t xml:space="preserve"> which</w:t>
      </w:r>
      <w:proofErr w:type="gramEnd"/>
      <w:r w:rsidRPr="00CE6E7A">
        <w:rPr>
          <w:rFonts w:asciiTheme="majorHAnsi" w:hAnsiTheme="majorHAnsi" w:cs="Times New Roman"/>
        </w:rPr>
        <w:t xml:space="preserve"> results in less irritation to the HCWs hands. A further study, while limited, found that despite increased compliance with hand hygiene and standard precautions </w:t>
      </w:r>
      <w:proofErr w:type="gramStart"/>
      <w:r w:rsidRPr="00CE6E7A">
        <w:rPr>
          <w:rFonts w:asciiTheme="majorHAnsi" w:hAnsiTheme="majorHAnsi" w:cs="Times New Roman"/>
        </w:rPr>
        <w:t>that nosocomial infections</w:t>
      </w:r>
      <w:proofErr w:type="gramEnd"/>
      <w:r w:rsidRPr="00CE6E7A">
        <w:rPr>
          <w:rFonts w:asciiTheme="majorHAnsi" w:hAnsiTheme="majorHAnsi" w:cs="Times New Roman"/>
        </w:rPr>
        <w:t xml:space="preserve"> still occur in the healthcare setting albeit in lower numbers </w:t>
      </w:r>
      <w:sdt>
        <w:sdtPr>
          <w:rPr>
            <w:rFonts w:asciiTheme="majorHAnsi" w:hAnsiTheme="majorHAnsi" w:cs="Times New Roman"/>
          </w:rPr>
          <w:id w:val="412827404"/>
          <w:citation/>
        </w:sdtPr>
        <w:sdtContent>
          <w:r w:rsidRPr="00CE6E7A">
            <w:rPr>
              <w:rFonts w:asciiTheme="majorHAnsi" w:hAnsiTheme="majorHAnsi" w:cs="Times New Roman"/>
            </w:rPr>
            <w:fldChar w:fldCharType="begin"/>
          </w:r>
          <w:r w:rsidRPr="00CE6E7A">
            <w:rPr>
              <w:rFonts w:asciiTheme="majorHAnsi" w:hAnsiTheme="majorHAnsi" w:cs="Times New Roman"/>
            </w:rPr>
            <w:instrText xml:space="preserve"> CITATION Bea07 \l 1033 </w:instrText>
          </w:r>
          <w:r w:rsidRPr="00CE6E7A">
            <w:rPr>
              <w:rFonts w:asciiTheme="majorHAnsi" w:hAnsiTheme="majorHAnsi" w:cs="Times New Roman"/>
            </w:rPr>
            <w:fldChar w:fldCharType="separate"/>
          </w:r>
          <w:r w:rsidRPr="00CE6E7A">
            <w:rPr>
              <w:rFonts w:asciiTheme="majorHAnsi" w:hAnsiTheme="majorHAnsi" w:cs="Times New Roman"/>
              <w:noProof/>
            </w:rPr>
            <w:t>(Bearman, et al., 2007)</w:t>
          </w:r>
          <w:r w:rsidRPr="00CE6E7A">
            <w:rPr>
              <w:rFonts w:asciiTheme="majorHAnsi" w:hAnsiTheme="majorHAnsi" w:cs="Times New Roman"/>
            </w:rPr>
            <w:fldChar w:fldCharType="end"/>
          </w:r>
        </w:sdtContent>
      </w:sdt>
      <w:r w:rsidRPr="00CE6E7A">
        <w:rPr>
          <w:rFonts w:asciiTheme="majorHAnsi" w:hAnsiTheme="majorHAnsi" w:cs="Times New Roman"/>
        </w:rPr>
        <w:t xml:space="preserve">.  All sources were able to accurately identify that washing with soap and water is only necessary when hands are visibly soiled or after exposed to a spore forming pathogen such as C. </w:t>
      </w:r>
      <w:proofErr w:type="spellStart"/>
      <w:r w:rsidRPr="00CE6E7A">
        <w:rPr>
          <w:rFonts w:asciiTheme="majorHAnsi" w:hAnsiTheme="majorHAnsi" w:cs="Times New Roman"/>
        </w:rPr>
        <w:t>Difficile</w:t>
      </w:r>
      <w:proofErr w:type="spellEnd"/>
      <w:r w:rsidRPr="00CE6E7A">
        <w:rPr>
          <w:rFonts w:asciiTheme="majorHAnsi" w:hAnsiTheme="majorHAnsi" w:cs="Times New Roman"/>
        </w:rPr>
        <w:t xml:space="preserve">. The main theme throughout was the lack of education provided to HCWs and that increased knowledge brought about increased compliance and better patient outcomes </w:t>
      </w:r>
      <w:sdt>
        <w:sdtPr>
          <w:rPr>
            <w:rFonts w:asciiTheme="majorHAnsi" w:hAnsiTheme="majorHAnsi" w:cs="Times New Roman"/>
          </w:rPr>
          <w:id w:val="296885507"/>
          <w:citation/>
        </w:sdtPr>
        <w:sdtContent>
          <w:r w:rsidRPr="00CE6E7A">
            <w:rPr>
              <w:rFonts w:asciiTheme="majorHAnsi" w:hAnsiTheme="majorHAnsi" w:cs="Times New Roman"/>
            </w:rPr>
            <w:fldChar w:fldCharType="begin"/>
          </w:r>
          <w:r w:rsidRPr="00CE6E7A">
            <w:rPr>
              <w:rFonts w:asciiTheme="majorHAnsi" w:hAnsiTheme="majorHAnsi" w:cs="Times New Roman"/>
            </w:rPr>
            <w:instrText xml:space="preserve"> CITATION Kam09 \l 1033 </w:instrText>
          </w:r>
          <w:r w:rsidRPr="00CE6E7A">
            <w:rPr>
              <w:rFonts w:asciiTheme="majorHAnsi" w:hAnsiTheme="majorHAnsi" w:cs="Times New Roman"/>
            </w:rPr>
            <w:fldChar w:fldCharType="separate"/>
          </w:r>
          <w:r w:rsidRPr="00CE6E7A">
            <w:rPr>
              <w:rFonts w:asciiTheme="majorHAnsi" w:hAnsiTheme="majorHAnsi" w:cs="Times New Roman"/>
              <w:noProof/>
            </w:rPr>
            <w:t>(Kampf, Loffler, &amp; Gastmeier, 2009)</w:t>
          </w:r>
          <w:r w:rsidRPr="00CE6E7A">
            <w:rPr>
              <w:rFonts w:asciiTheme="majorHAnsi" w:hAnsiTheme="majorHAnsi" w:cs="Times New Roman"/>
            </w:rPr>
            <w:fldChar w:fldCharType="end"/>
          </w:r>
        </w:sdtContent>
      </w:sdt>
      <w:r w:rsidRPr="00CE6E7A">
        <w:rPr>
          <w:rFonts w:asciiTheme="majorHAnsi" w:hAnsiTheme="majorHAnsi" w:cs="Times New Roman"/>
        </w:rPr>
        <w:t>.</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 10: Develop Recommendations for Change Based on Evidence</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Evidence-based hand hygiene prevents the transmission of the most important nosocomial pathogens and helps to keep HCWs skin intact and healthy. The research has shown that education of HCWs is vital to the compliance rate of hand hygiene in the healthcare setting. With an increased knowledge of when to use each product and the impact compliance has on the health of patients, HCWs compliance will increase.  An </w:t>
      </w:r>
      <w:proofErr w:type="gramStart"/>
      <w:r w:rsidRPr="00CE6E7A">
        <w:rPr>
          <w:rFonts w:asciiTheme="majorHAnsi" w:hAnsiTheme="majorHAnsi" w:cs="Times New Roman"/>
        </w:rPr>
        <w:t>education based</w:t>
      </w:r>
      <w:proofErr w:type="gramEnd"/>
      <w:r w:rsidRPr="00CE6E7A">
        <w:rPr>
          <w:rFonts w:asciiTheme="majorHAnsi" w:hAnsiTheme="majorHAnsi" w:cs="Times New Roman"/>
        </w:rPr>
        <w:t xml:space="preserve"> approach with HCWs will increase adherence to guidelines and therefore improve outcomes and decrease nosocomial infections.</w:t>
      </w:r>
    </w:p>
    <w:p w:rsidR="00CE6E7A" w:rsidRPr="00CE6E7A" w:rsidRDefault="00CE6E7A" w:rsidP="00CE6E7A">
      <w:pPr>
        <w:spacing w:after="0" w:line="360" w:lineRule="auto"/>
        <w:jc w:val="center"/>
        <w:rPr>
          <w:rFonts w:asciiTheme="majorHAnsi" w:hAnsiTheme="majorHAnsi" w:cs="Times New Roman"/>
          <w:b/>
        </w:rPr>
      </w:pPr>
      <w:r w:rsidRPr="00CE6E7A">
        <w:rPr>
          <w:rFonts w:asciiTheme="majorHAnsi" w:hAnsiTheme="majorHAnsi" w:cs="Times New Roman"/>
          <w:b/>
        </w:rPr>
        <w:t>Translation</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Steps 11, 12, and 13, 14: Action Plan</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Prior to implementing any type of project or change the team will need to ensure there is support from management, both financially and practically.  When support is in place, an evaluation of the organization, its practices, its products and their placement and the HCWs and their practices must take place.</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Those working with the team as “observers” will need to be validated.  A “needs assessment” will need to be completed with staff on the unit.  Once the observations have taken place and the data is collected, the team will need to implement the education and re-education plans with the staff.  Following the education, another observation period will take place.  This data will be collected and evaluated to determine the effectiveness of compliance.  </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The timeline for this study is approximately six months.  Implementing training, education and monitoring for compliance are the easiest steps in the project.  The staff will then be monitored for compliance and be continually re-educated as needed.  It will take a period of time to evaluate the impact on patient outcomes by monitoring for readmissions, follow up care with primary care practices and known infections while still hospitalized.  At this juncture, the Infection Prevention team </w:t>
      </w:r>
      <w:proofErr w:type="gramStart"/>
      <w:r w:rsidRPr="00CE6E7A">
        <w:rPr>
          <w:rFonts w:asciiTheme="majorHAnsi" w:hAnsiTheme="majorHAnsi" w:cs="Times New Roman"/>
        </w:rPr>
        <w:t>member along with a data manager, if available, are</w:t>
      </w:r>
      <w:proofErr w:type="gramEnd"/>
      <w:r w:rsidRPr="00CE6E7A">
        <w:rPr>
          <w:rFonts w:asciiTheme="majorHAnsi" w:hAnsiTheme="majorHAnsi" w:cs="Times New Roman"/>
        </w:rPr>
        <w:t xml:space="preserve"> vital in gathering these statistics to evaluate the outcomes. </w:t>
      </w:r>
    </w:p>
    <w:p w:rsidR="00CE6E7A" w:rsidRPr="00CE6E7A" w:rsidRDefault="00CE6E7A" w:rsidP="00CE6E7A">
      <w:pPr>
        <w:spacing w:line="360" w:lineRule="auto"/>
        <w:rPr>
          <w:rFonts w:asciiTheme="majorHAnsi" w:hAnsiTheme="majorHAnsi" w:cs="Times New Roman"/>
        </w:rPr>
      </w:pPr>
      <w:r w:rsidRPr="00CE6E7A">
        <w:rPr>
          <w:rFonts w:asciiTheme="majorHAnsi" w:hAnsiTheme="majorHAnsi" w:cs="Times New Roman"/>
        </w:rPr>
        <w:t>The outcomes will be measured based on the observations of the team members in compliance to the hand hygiene guidelines and the current rate of nosocomial infections versus the rate prior to the</w:t>
      </w:r>
      <w:r w:rsidRPr="00CE6E7A">
        <w:rPr>
          <w:rFonts w:asciiTheme="majorHAnsi" w:hAnsiTheme="majorHAnsi" w:cs="Times New Roman"/>
        </w:rPr>
        <w:t xml:space="preserve"> training.</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Steps 16 and 16: Evaluating Outcomes and Reporting Outcomes</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The desired outcomes include an increased hand hygiene compliance rate among hospital staff on the pilot unit.  The overall desired outcome is the reduction of nosocomial infections among patients on the unit being piloted. Reporting will be accomplished by monthly meeting to report the current data.  At the conclusion of the study a presentation will be made to key member to review the entire process, all the tangible and intangible costs associated and the finalized outcomes as well as the recommendations based on the study.</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Steps 17: Identify Next Steps</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Following the success on one unit and the approval of senior management, the educational department will be contacted to assist with drafting the new guidelines into policy and procedures.  Once the policy is created, the change will slowly be rolled out to other units and departments in the organization.  This will again take some time to continue to evaluate the process as it rolls out.  As changes occur and necessitate further change, the team will continue to meet to determine if the change is a positive or negative one.</w:t>
      </w:r>
    </w:p>
    <w:p w:rsidR="00CE6E7A" w:rsidRPr="00CE6E7A" w:rsidRDefault="00CE6E7A" w:rsidP="00CE6E7A">
      <w:pPr>
        <w:spacing w:after="0" w:line="360" w:lineRule="auto"/>
        <w:rPr>
          <w:rFonts w:asciiTheme="majorHAnsi" w:hAnsiTheme="majorHAnsi" w:cs="Times New Roman"/>
          <w:b/>
        </w:rPr>
      </w:pPr>
      <w:r w:rsidRPr="00CE6E7A">
        <w:rPr>
          <w:rFonts w:asciiTheme="majorHAnsi" w:hAnsiTheme="majorHAnsi" w:cs="Times New Roman"/>
          <w:b/>
        </w:rPr>
        <w:t>Step 18: Disseminate Findings</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There are many avenues available to disseminate information internally.  There are various offerings such as “Coffee and Contact Hours”, Alerts and Recommendations, Clinical News Alerts.  The organization also provides a Health Stream Learning System that requires staff to complete educational models pertinent to their role within the organization.</w:t>
      </w:r>
    </w:p>
    <w:p w:rsidR="00CE6E7A" w:rsidRPr="00CE6E7A" w:rsidRDefault="00CE6E7A" w:rsidP="00CE6E7A">
      <w:pPr>
        <w:spacing w:after="0" w:line="360" w:lineRule="auto"/>
        <w:ind w:firstLine="720"/>
        <w:rPr>
          <w:rFonts w:asciiTheme="majorHAnsi" w:hAnsiTheme="majorHAnsi" w:cs="Times New Roman"/>
        </w:rPr>
      </w:pPr>
      <w:r w:rsidRPr="00CE6E7A">
        <w:rPr>
          <w:rFonts w:asciiTheme="majorHAnsi" w:hAnsiTheme="majorHAnsi" w:cs="Times New Roman"/>
        </w:rPr>
        <w:t xml:space="preserve">This organization provides various departments to assist with writing grants, writing papers and getting them published.  Using this </w:t>
      </w:r>
      <w:proofErr w:type="gramStart"/>
      <w:r w:rsidRPr="00CE6E7A">
        <w:rPr>
          <w:rFonts w:asciiTheme="majorHAnsi" w:hAnsiTheme="majorHAnsi" w:cs="Times New Roman"/>
        </w:rPr>
        <w:t>department,</w:t>
      </w:r>
      <w:proofErr w:type="gramEnd"/>
      <w:r w:rsidRPr="00CE6E7A">
        <w:rPr>
          <w:rFonts w:asciiTheme="majorHAnsi" w:hAnsiTheme="majorHAnsi" w:cs="Times New Roman"/>
        </w:rPr>
        <w:t xml:space="preserve"> may assist in getting the findings published.  Another avenue to pursue would be the local newspaper and television </w:t>
      </w:r>
      <w:proofErr w:type="gramStart"/>
      <w:r w:rsidRPr="00CE6E7A">
        <w:rPr>
          <w:rFonts w:asciiTheme="majorHAnsi" w:hAnsiTheme="majorHAnsi" w:cs="Times New Roman"/>
        </w:rPr>
        <w:t>reporters</w:t>
      </w:r>
      <w:proofErr w:type="gramEnd"/>
      <w:r w:rsidRPr="00CE6E7A">
        <w:rPr>
          <w:rFonts w:asciiTheme="majorHAnsi" w:hAnsiTheme="majorHAnsi" w:cs="Times New Roman"/>
        </w:rPr>
        <w:t>.</w:t>
      </w:r>
    </w:p>
    <w:p w:rsidR="00CE6E7A" w:rsidRPr="00CE6E7A" w:rsidRDefault="00CE6E7A" w:rsidP="00CE6E7A">
      <w:pPr>
        <w:spacing w:after="0" w:line="360" w:lineRule="auto"/>
        <w:jc w:val="center"/>
        <w:rPr>
          <w:rFonts w:asciiTheme="majorHAnsi" w:hAnsiTheme="majorHAnsi" w:cs="Times New Roman"/>
          <w:b/>
        </w:rPr>
      </w:pPr>
      <w:r w:rsidRPr="00CE6E7A">
        <w:rPr>
          <w:rFonts w:asciiTheme="majorHAnsi" w:hAnsiTheme="majorHAnsi" w:cs="Times New Roman"/>
          <w:b/>
        </w:rPr>
        <w:t>Conclusion</w:t>
      </w:r>
    </w:p>
    <w:p w:rsidR="00CE6E7A" w:rsidRPr="00CE6E7A" w:rsidRDefault="00CE6E7A" w:rsidP="00CE6E7A">
      <w:pPr>
        <w:spacing w:after="0" w:line="360" w:lineRule="auto"/>
        <w:rPr>
          <w:rFonts w:asciiTheme="majorHAnsi" w:hAnsiTheme="majorHAnsi" w:cs="Times New Roman"/>
        </w:rPr>
      </w:pPr>
      <w:r w:rsidRPr="00CE6E7A">
        <w:rPr>
          <w:rFonts w:asciiTheme="majorHAnsi" w:hAnsiTheme="majorHAnsi" w:cs="Times New Roman"/>
          <w:b/>
        </w:rPr>
        <w:tab/>
      </w:r>
      <w:r w:rsidRPr="00CE6E7A">
        <w:rPr>
          <w:rFonts w:asciiTheme="majorHAnsi" w:hAnsiTheme="majorHAnsi" w:cs="Times New Roman"/>
        </w:rPr>
        <w:t>Evidence-based hand hygiene can prevent the transmission of most nosocomial pathogens and keep HCWs skin intact and healthy. Alcohol-based hand rubs are the most effective disinfectant based on efficacy and tolerance.  The perception and knowledge of HCWs will significantly increase the compliance rate and decrease the rate of nosocomial infections although it will not completely eliminate it.</w:t>
      </w:r>
    </w:p>
    <w:p w:rsidR="00CE6E7A" w:rsidRPr="00CE6E7A" w:rsidRDefault="00CE6E7A" w:rsidP="00CE6E7A">
      <w:pPr>
        <w:spacing w:line="360" w:lineRule="auto"/>
        <w:jc w:val="center"/>
        <w:rPr>
          <w:rFonts w:asciiTheme="majorHAnsi" w:hAnsiTheme="majorHAnsi" w:cs="Times New Roman"/>
        </w:rPr>
      </w:pPr>
    </w:p>
    <w:p w:rsidR="00CE6E7A" w:rsidRPr="00CE6E7A" w:rsidRDefault="00CE6E7A" w:rsidP="00CE6E7A">
      <w:pPr>
        <w:spacing w:line="360" w:lineRule="auto"/>
        <w:jc w:val="center"/>
        <w:rPr>
          <w:rFonts w:asciiTheme="majorHAnsi" w:hAnsiTheme="majorHAnsi" w:cs="Times New Roman"/>
        </w:rPr>
      </w:pPr>
    </w:p>
    <w:p w:rsidR="00CE6E7A" w:rsidRPr="00CE6E7A" w:rsidRDefault="00CE6E7A" w:rsidP="00CE6E7A">
      <w:pPr>
        <w:spacing w:line="360" w:lineRule="auto"/>
        <w:jc w:val="center"/>
        <w:rPr>
          <w:rFonts w:asciiTheme="majorHAnsi" w:hAnsiTheme="majorHAnsi" w:cs="Times New Roman"/>
        </w:rPr>
      </w:pPr>
    </w:p>
    <w:p w:rsidR="00CE6E7A" w:rsidRPr="00CE6E7A" w:rsidRDefault="00CE6E7A" w:rsidP="00CE6E7A">
      <w:pPr>
        <w:spacing w:line="360" w:lineRule="auto"/>
        <w:jc w:val="center"/>
        <w:rPr>
          <w:rFonts w:asciiTheme="majorHAnsi" w:hAnsiTheme="majorHAnsi" w:cs="Times New Roman"/>
        </w:rPr>
      </w:pPr>
    </w:p>
    <w:p w:rsidR="00CE6E7A" w:rsidRPr="00CE6E7A" w:rsidRDefault="00CE6E7A" w:rsidP="00CE6E7A">
      <w:pPr>
        <w:spacing w:line="360" w:lineRule="auto"/>
        <w:jc w:val="center"/>
        <w:rPr>
          <w:rFonts w:asciiTheme="majorHAnsi" w:hAnsiTheme="majorHAnsi" w:cs="Times New Roman"/>
        </w:rPr>
      </w:pPr>
    </w:p>
    <w:p w:rsidR="00CE6E7A" w:rsidRPr="00CE6E7A" w:rsidRDefault="00CE6E7A" w:rsidP="00CE6E7A">
      <w:pPr>
        <w:spacing w:line="360" w:lineRule="auto"/>
        <w:jc w:val="center"/>
        <w:rPr>
          <w:rFonts w:asciiTheme="majorHAnsi" w:hAnsiTheme="majorHAnsi" w:cs="Times New Roman"/>
        </w:rPr>
      </w:pPr>
    </w:p>
    <w:p w:rsidR="00CE6E7A" w:rsidRPr="00CE6E7A" w:rsidRDefault="00CE6E7A" w:rsidP="00CE6E7A">
      <w:pPr>
        <w:spacing w:line="360" w:lineRule="auto"/>
        <w:jc w:val="center"/>
        <w:rPr>
          <w:rFonts w:asciiTheme="majorHAnsi" w:hAnsiTheme="majorHAnsi" w:cs="Times New Roman"/>
        </w:rPr>
      </w:pPr>
    </w:p>
    <w:p w:rsidR="00CE6E7A" w:rsidRPr="00CE6E7A" w:rsidRDefault="00CE6E7A" w:rsidP="00CE6E7A">
      <w:pPr>
        <w:spacing w:line="360" w:lineRule="auto"/>
        <w:rPr>
          <w:rFonts w:asciiTheme="majorHAnsi" w:hAnsiTheme="majorHAnsi" w:cs="Times New Roman"/>
        </w:rPr>
      </w:pPr>
    </w:p>
    <w:p w:rsidR="00CE6E7A" w:rsidRDefault="00CE6E7A" w:rsidP="00CE6E7A">
      <w:pPr>
        <w:spacing w:line="360" w:lineRule="auto"/>
        <w:jc w:val="center"/>
        <w:rPr>
          <w:rFonts w:asciiTheme="majorHAnsi" w:hAnsiTheme="majorHAnsi" w:cs="Times New Roman"/>
        </w:rPr>
      </w:pPr>
      <w:r w:rsidRPr="00CE6E7A">
        <w:rPr>
          <w:rFonts w:asciiTheme="majorHAnsi" w:hAnsiTheme="majorHAnsi" w:cs="Times New Roman"/>
        </w:rPr>
        <w:t xml:space="preserve"> </w:t>
      </w:r>
    </w:p>
    <w:p w:rsidR="00CE6E7A" w:rsidRPr="00CE6E7A" w:rsidRDefault="00CE6E7A" w:rsidP="00CE6E7A">
      <w:pPr>
        <w:spacing w:line="360" w:lineRule="auto"/>
        <w:jc w:val="center"/>
        <w:rPr>
          <w:rFonts w:asciiTheme="majorHAnsi" w:hAnsiTheme="majorHAnsi" w:cs="Times New Roman"/>
        </w:rPr>
      </w:pPr>
      <w:r w:rsidRPr="00CE6E7A">
        <w:rPr>
          <w:rFonts w:asciiTheme="majorHAnsi" w:hAnsiTheme="majorHAnsi" w:cs="Times New Roman"/>
        </w:rPr>
        <w:t xml:space="preserve">References </w:t>
      </w:r>
    </w:p>
    <w:bookmarkStart w:id="1" w:name="p04_c12_s1_37"/>
    <w:bookmarkEnd w:id="1"/>
    <w:p w:rsidR="00CE6E7A" w:rsidRPr="00CE6E7A" w:rsidRDefault="00CE6E7A" w:rsidP="00CE6E7A">
      <w:pPr>
        <w:pStyle w:val="Bibliography"/>
        <w:spacing w:line="360" w:lineRule="auto"/>
        <w:rPr>
          <w:rFonts w:asciiTheme="majorHAnsi" w:hAnsiTheme="majorHAnsi" w:cs="Times New Roman"/>
          <w:noProof/>
        </w:rPr>
      </w:pPr>
      <w:r w:rsidRPr="00CE6E7A">
        <w:rPr>
          <w:rFonts w:asciiTheme="majorHAnsi" w:eastAsia="Calibri" w:hAnsiTheme="majorHAnsi" w:cs="Times New Roman"/>
          <w:color w:val="000000"/>
        </w:rPr>
        <w:fldChar w:fldCharType="begin"/>
      </w:r>
      <w:r w:rsidRPr="00CE6E7A">
        <w:rPr>
          <w:rFonts w:asciiTheme="majorHAnsi" w:eastAsia="Calibri" w:hAnsiTheme="majorHAnsi" w:cs="Times New Roman"/>
          <w:color w:val="000000"/>
        </w:rPr>
        <w:instrText xml:space="preserve"> BIBLIOGRAPHY  \l 1033 </w:instrText>
      </w:r>
      <w:r w:rsidRPr="00CE6E7A">
        <w:rPr>
          <w:rFonts w:asciiTheme="majorHAnsi" w:eastAsia="Calibri" w:hAnsiTheme="majorHAnsi" w:cs="Times New Roman"/>
          <w:color w:val="000000"/>
        </w:rPr>
        <w:fldChar w:fldCharType="separate"/>
      </w:r>
      <w:r w:rsidRPr="00CE6E7A">
        <w:rPr>
          <w:rFonts w:asciiTheme="majorHAnsi" w:hAnsiTheme="majorHAnsi" w:cs="Times New Roman"/>
          <w:noProof/>
        </w:rPr>
        <w:t xml:space="preserve">Bearman, G., Marra, A., Sessler, C., Smith, W., Rosato, A., Laplante, J., et al. (2007). A controlled trial of universal gloving versus contact precautions for preventing the transmission of multidrug-resistant organisms. </w:t>
      </w:r>
      <w:r w:rsidRPr="00CE6E7A">
        <w:rPr>
          <w:rFonts w:asciiTheme="majorHAnsi" w:hAnsiTheme="majorHAnsi" w:cs="Times New Roman"/>
          <w:i/>
          <w:iCs/>
          <w:noProof/>
        </w:rPr>
        <w:t>American Journal of Infection Control</w:t>
      </w:r>
      <w:r w:rsidRPr="00CE6E7A">
        <w:rPr>
          <w:rFonts w:asciiTheme="majorHAnsi" w:hAnsiTheme="majorHAnsi" w:cs="Times New Roman"/>
          <w:noProof/>
        </w:rPr>
        <w:t xml:space="preserve"> </w:t>
      </w:r>
      <w:r w:rsidRPr="00CE6E7A">
        <w:rPr>
          <w:rFonts w:asciiTheme="majorHAnsi" w:hAnsiTheme="majorHAnsi" w:cs="Times New Roman"/>
          <w:i/>
          <w:iCs/>
          <w:noProof/>
        </w:rPr>
        <w:t>, 35</w:t>
      </w:r>
      <w:r w:rsidRPr="00CE6E7A">
        <w:rPr>
          <w:rFonts w:asciiTheme="majorHAnsi" w:hAnsiTheme="majorHAnsi" w:cs="Times New Roman"/>
          <w:noProof/>
        </w:rPr>
        <w:t xml:space="preserve"> (10), 650-655.</w:t>
      </w:r>
    </w:p>
    <w:p w:rsidR="00CE6E7A" w:rsidRPr="00CE6E7A" w:rsidRDefault="00CE6E7A" w:rsidP="00CE6E7A">
      <w:pPr>
        <w:pStyle w:val="Bibliography"/>
        <w:spacing w:line="360" w:lineRule="auto"/>
        <w:rPr>
          <w:rFonts w:asciiTheme="majorHAnsi" w:hAnsiTheme="majorHAnsi" w:cs="Times New Roman"/>
          <w:noProof/>
        </w:rPr>
      </w:pPr>
      <w:r w:rsidRPr="00CE6E7A">
        <w:rPr>
          <w:rFonts w:asciiTheme="majorHAnsi" w:hAnsiTheme="majorHAnsi" w:cs="Times New Roman"/>
          <w:noProof/>
        </w:rPr>
        <w:t xml:space="preserve">Kampf, G., Loffler, H., &amp; Gastmeier, P. (2009). Hand hygiene for the prevention of nosocomial infections. </w:t>
      </w:r>
      <w:r w:rsidRPr="00CE6E7A">
        <w:rPr>
          <w:rFonts w:asciiTheme="majorHAnsi" w:hAnsiTheme="majorHAnsi" w:cs="Times New Roman"/>
          <w:i/>
          <w:iCs/>
          <w:noProof/>
        </w:rPr>
        <w:t>Deutsches Aerzteblatt International</w:t>
      </w:r>
      <w:r w:rsidRPr="00CE6E7A">
        <w:rPr>
          <w:rFonts w:asciiTheme="majorHAnsi" w:hAnsiTheme="majorHAnsi" w:cs="Times New Roman"/>
          <w:noProof/>
        </w:rPr>
        <w:t xml:space="preserve"> </w:t>
      </w:r>
      <w:r w:rsidRPr="00CE6E7A">
        <w:rPr>
          <w:rFonts w:asciiTheme="majorHAnsi" w:hAnsiTheme="majorHAnsi" w:cs="Times New Roman"/>
          <w:i/>
          <w:iCs/>
          <w:noProof/>
        </w:rPr>
        <w:t>, 106</w:t>
      </w:r>
      <w:r w:rsidRPr="00CE6E7A">
        <w:rPr>
          <w:rFonts w:asciiTheme="majorHAnsi" w:hAnsiTheme="majorHAnsi" w:cs="Times New Roman"/>
          <w:noProof/>
        </w:rPr>
        <w:t xml:space="preserve"> (40), 649-655.</w:t>
      </w:r>
    </w:p>
    <w:p w:rsidR="00CE6E7A" w:rsidRPr="00CE6E7A" w:rsidRDefault="00CE6E7A" w:rsidP="00CE6E7A">
      <w:pPr>
        <w:pStyle w:val="Bibliography"/>
        <w:spacing w:line="360" w:lineRule="auto"/>
        <w:rPr>
          <w:rFonts w:asciiTheme="majorHAnsi" w:hAnsiTheme="majorHAnsi" w:cs="Times New Roman"/>
          <w:noProof/>
        </w:rPr>
      </w:pPr>
      <w:r w:rsidRPr="00CE6E7A">
        <w:rPr>
          <w:rFonts w:asciiTheme="majorHAnsi" w:hAnsiTheme="majorHAnsi" w:cs="Times New Roman"/>
          <w:noProof/>
        </w:rPr>
        <w:t xml:space="preserve">Mastrandrea, R., Soto-Aladro, A., Brouqui, P., &amp; Barrat, A. (2015). Enhancing the evaluation of pathogen transmission risk in a hospital by merging hand-hygiene compliance and contact data: a proof-of-concept study. </w:t>
      </w:r>
      <w:r w:rsidRPr="00CE6E7A">
        <w:rPr>
          <w:rFonts w:asciiTheme="majorHAnsi" w:hAnsiTheme="majorHAnsi" w:cs="Times New Roman"/>
          <w:i/>
          <w:iCs/>
          <w:noProof/>
        </w:rPr>
        <w:t>BMC Research Notes</w:t>
      </w:r>
      <w:r w:rsidRPr="00CE6E7A">
        <w:rPr>
          <w:rFonts w:asciiTheme="majorHAnsi" w:hAnsiTheme="majorHAnsi" w:cs="Times New Roman"/>
          <w:noProof/>
        </w:rPr>
        <w:t xml:space="preserve"> </w:t>
      </w:r>
      <w:r w:rsidRPr="00CE6E7A">
        <w:rPr>
          <w:rFonts w:asciiTheme="majorHAnsi" w:hAnsiTheme="majorHAnsi" w:cs="Times New Roman"/>
          <w:i/>
          <w:iCs/>
          <w:noProof/>
        </w:rPr>
        <w:t>, 8</w:t>
      </w:r>
      <w:r w:rsidRPr="00CE6E7A">
        <w:rPr>
          <w:rFonts w:asciiTheme="majorHAnsi" w:hAnsiTheme="majorHAnsi" w:cs="Times New Roman"/>
          <w:noProof/>
        </w:rPr>
        <w:t xml:space="preserve"> (1), 1-11.</w:t>
      </w:r>
    </w:p>
    <w:p w:rsidR="00CE6E7A" w:rsidRPr="00CE6E7A" w:rsidRDefault="00CE6E7A" w:rsidP="00CE6E7A">
      <w:pPr>
        <w:pStyle w:val="Bibliography"/>
        <w:spacing w:line="360" w:lineRule="auto"/>
        <w:rPr>
          <w:rFonts w:asciiTheme="majorHAnsi" w:hAnsiTheme="majorHAnsi" w:cs="Times New Roman"/>
          <w:noProof/>
        </w:rPr>
      </w:pPr>
      <w:r w:rsidRPr="00CE6E7A">
        <w:rPr>
          <w:rFonts w:asciiTheme="majorHAnsi" w:hAnsiTheme="majorHAnsi" w:cs="Times New Roman"/>
          <w:noProof/>
        </w:rPr>
        <w:t xml:space="preserve">Picheansathian, W. (2004). A systematic review on the effectiveness of alcohol-based solutions for hand hygiene. </w:t>
      </w:r>
      <w:r w:rsidRPr="00CE6E7A">
        <w:rPr>
          <w:rFonts w:asciiTheme="majorHAnsi" w:hAnsiTheme="majorHAnsi" w:cs="Times New Roman"/>
          <w:i/>
          <w:iCs/>
          <w:noProof/>
        </w:rPr>
        <w:t>International Journal of Nursing Practice</w:t>
      </w:r>
      <w:r w:rsidRPr="00CE6E7A">
        <w:rPr>
          <w:rFonts w:asciiTheme="majorHAnsi" w:hAnsiTheme="majorHAnsi" w:cs="Times New Roman"/>
          <w:noProof/>
        </w:rPr>
        <w:t xml:space="preserve"> </w:t>
      </w:r>
      <w:r w:rsidRPr="00CE6E7A">
        <w:rPr>
          <w:rFonts w:asciiTheme="majorHAnsi" w:hAnsiTheme="majorHAnsi" w:cs="Times New Roman"/>
          <w:i/>
          <w:iCs/>
          <w:noProof/>
        </w:rPr>
        <w:t>, 10</w:t>
      </w:r>
      <w:r w:rsidRPr="00CE6E7A">
        <w:rPr>
          <w:rFonts w:asciiTheme="majorHAnsi" w:hAnsiTheme="majorHAnsi" w:cs="Times New Roman"/>
          <w:noProof/>
        </w:rPr>
        <w:t xml:space="preserve"> (1), 3-9.</w:t>
      </w:r>
    </w:p>
    <w:p w:rsidR="00CE6E7A" w:rsidRPr="00CE6E7A" w:rsidRDefault="00CE6E7A" w:rsidP="00CE6E7A">
      <w:pPr>
        <w:spacing w:before="100" w:beforeAutospacing="1" w:after="100" w:afterAutospacing="1" w:line="360" w:lineRule="auto"/>
        <w:ind w:left="720" w:hanging="720"/>
        <w:rPr>
          <w:rFonts w:asciiTheme="majorHAnsi" w:eastAsia="Calibri" w:hAnsiTheme="majorHAnsi" w:cs="Times New Roman"/>
          <w:color w:val="0000FF" w:themeColor="hyperlink"/>
          <w:u w:val="single"/>
        </w:rPr>
      </w:pPr>
      <w:r w:rsidRPr="00CE6E7A">
        <w:rPr>
          <w:rFonts w:asciiTheme="majorHAnsi" w:eastAsia="Calibri" w:hAnsiTheme="majorHAnsi" w:cs="Times New Roman"/>
          <w:color w:val="000000"/>
        </w:rPr>
        <w:fldChar w:fldCharType="end"/>
      </w:r>
      <w:proofErr w:type="gramStart"/>
      <w:r w:rsidRPr="00CE6E7A">
        <w:rPr>
          <w:rFonts w:asciiTheme="majorHAnsi" w:eastAsia="Calibri" w:hAnsiTheme="majorHAnsi" w:cs="Times New Roman"/>
          <w:color w:val="000000"/>
        </w:rPr>
        <w:t>U.S. Department of Health and Human Services.</w:t>
      </w:r>
      <w:proofErr w:type="gramEnd"/>
      <w:r w:rsidRPr="00CE6E7A">
        <w:rPr>
          <w:rFonts w:asciiTheme="majorHAnsi" w:eastAsia="Calibri" w:hAnsiTheme="majorHAnsi" w:cs="Times New Roman"/>
          <w:color w:val="000000"/>
        </w:rPr>
        <w:t xml:space="preserve"> (2015, November 13). Healthcare-Associated Infections. Retrieved June 29, 2015, from HealthyPeople2020: </w:t>
      </w:r>
      <w:hyperlink r:id="rId6" w:history="1">
        <w:r w:rsidRPr="00CE6E7A">
          <w:rPr>
            <w:rFonts w:asciiTheme="majorHAnsi" w:eastAsia="Calibri" w:hAnsiTheme="majorHAnsi" w:cs="Times New Roman"/>
            <w:color w:val="0000FF" w:themeColor="hyperlink"/>
            <w:u w:val="single"/>
          </w:rPr>
          <w:t>http://www.healthypeople.gov/2020/topics-objectives/topic/healthcare-associated-infections</w:t>
        </w:r>
      </w:hyperlink>
    </w:p>
    <w:p w:rsidR="00CE6E7A" w:rsidRPr="00CE6E7A" w:rsidRDefault="00CE6E7A" w:rsidP="00CE6E7A">
      <w:pPr>
        <w:spacing w:line="360" w:lineRule="auto"/>
        <w:rPr>
          <w:rFonts w:asciiTheme="majorHAnsi" w:hAnsiTheme="majorHAnsi" w:cs="Times New Roman"/>
        </w:rPr>
      </w:pPr>
    </w:p>
    <w:p w:rsidR="00CE6E7A" w:rsidRPr="00CE6E7A" w:rsidRDefault="00CE6E7A" w:rsidP="00CE6E7A">
      <w:pPr>
        <w:spacing w:line="360" w:lineRule="auto"/>
        <w:rPr>
          <w:rFonts w:asciiTheme="majorHAnsi" w:hAnsiTheme="majorHAnsi" w:cs="Times New Roman"/>
        </w:rPr>
      </w:pPr>
    </w:p>
    <w:p w:rsidR="00CE6E7A" w:rsidRPr="00CE6E7A" w:rsidRDefault="00CE6E7A" w:rsidP="00CE6E7A">
      <w:pPr>
        <w:spacing w:line="360" w:lineRule="auto"/>
        <w:rPr>
          <w:rFonts w:asciiTheme="majorHAnsi" w:hAnsiTheme="majorHAnsi"/>
        </w:rPr>
      </w:pPr>
    </w:p>
    <w:sectPr w:rsidR="00CE6E7A" w:rsidRPr="00CE6E7A" w:rsidSect="00B2436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6E7A"/>
    <w:rsid w:val="005215C1"/>
    <w:rsid w:val="00B2436A"/>
    <w:rsid w:val="00CE6E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6EE9D8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E7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E7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E7A"/>
    <w:rPr>
      <w:rFonts w:ascii="Lucida Grande" w:hAnsi="Lucida Grande" w:cs="Lucida Grande"/>
      <w:sz w:val="18"/>
      <w:szCs w:val="18"/>
    </w:rPr>
  </w:style>
  <w:style w:type="character" w:styleId="Hyperlink">
    <w:name w:val="Hyperlink"/>
    <w:basedOn w:val="DefaultParagraphFont"/>
    <w:uiPriority w:val="99"/>
    <w:unhideWhenUsed/>
    <w:rsid w:val="00CE6E7A"/>
    <w:rPr>
      <w:color w:val="0000FF"/>
      <w:u w:val="single"/>
    </w:rPr>
  </w:style>
  <w:style w:type="paragraph" w:styleId="Bibliography">
    <w:name w:val="Bibliography"/>
    <w:basedOn w:val="Normal"/>
    <w:next w:val="Normal"/>
    <w:uiPriority w:val="37"/>
    <w:unhideWhenUsed/>
    <w:rsid w:val="00CE6E7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6E7A"/>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E6E7A"/>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E6E7A"/>
    <w:rPr>
      <w:rFonts w:ascii="Lucida Grande" w:hAnsi="Lucida Grande" w:cs="Lucida Grande"/>
      <w:sz w:val="18"/>
      <w:szCs w:val="18"/>
    </w:rPr>
  </w:style>
  <w:style w:type="character" w:styleId="Hyperlink">
    <w:name w:val="Hyperlink"/>
    <w:basedOn w:val="DefaultParagraphFont"/>
    <w:uiPriority w:val="99"/>
    <w:unhideWhenUsed/>
    <w:rsid w:val="00CE6E7A"/>
    <w:rPr>
      <w:color w:val="0000FF"/>
      <w:u w:val="single"/>
    </w:rPr>
  </w:style>
  <w:style w:type="paragraph" w:styleId="Bibliography">
    <w:name w:val="Bibliography"/>
    <w:basedOn w:val="Normal"/>
    <w:next w:val="Normal"/>
    <w:uiPriority w:val="37"/>
    <w:unhideWhenUsed/>
    <w:rsid w:val="00CE6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healthypeople.gov/2020/topics-objectives/topic/healthcare-associated-infection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Mas15</b:Tag>
    <b:SourceType>JournalArticle</b:SourceType>
    <b:Guid>{F42CD682-C616-49FF-B83B-5B5A965F7F44}</b:Guid>
    <b:Title>Enhancing the evaluation of pathogen transmission risk in a hospital by merging hand-hygiene compliance and contact data: a proof-of-concept study</b:Title>
    <b:JournalName>BMC Research Notes</b:JournalName>
    <b:Year>2015</b:Year>
    <b:Pages>1-11</b:Pages>
    <b:Author>
      <b:Author>
        <b:NameList>
          <b:Person>
            <b:Last>Mastrandrea</b:Last>
            <b:First>Rossana</b:First>
          </b:Person>
          <b:Person>
            <b:Last>Soto-Aladro</b:Last>
            <b:First>Alberto</b:First>
          </b:Person>
          <b:Person>
            <b:Last>Brouqui</b:Last>
            <b:First>Philippe</b:First>
          </b:Person>
          <b:Person>
            <b:Last>Barrat</b:Last>
            <b:First>Alain</b:First>
          </b:Person>
        </b:NameList>
      </b:Author>
    </b:Author>
    <b:Month>Sept</b:Month>
    <b:Day>11</b:Day>
    <b:Volume>8</b:Volume>
    <b:Issue>1</b:Issue>
    <b:YearAccessed>2015</b:YearAccessed>
    <b:MonthAccessed>November</b:MonthAccessed>
    <b:DayAccessed>13</b:DayAccessed>
    <b:DOI>http://dx.doi.org/10.1186/s13104-015-1409-0.</b:DOI>
    <b:RefOrder>1</b:RefOrder>
  </b:Source>
  <b:Source>
    <b:Tag>Wil04</b:Tag>
    <b:SourceType>JournalArticle</b:SourceType>
    <b:Guid>{65C77492-9DAB-4978-B9CA-236757857437}</b:Guid>
    <b:Title>A systematic review on the effectiveness of alcohol-based solutions for hand hygiene</b:Title>
    <b:JournalName>International Journal of Nursing Practice</b:JournalName>
    <b:Year>2004</b:Year>
    <b:Pages>3-9</b:Pages>
    <b:Author>
      <b:Author>
        <b:NameList>
          <b:Person>
            <b:Last>Picheansathian</b:Last>
            <b:First>Wilawan</b:First>
          </b:Person>
        </b:NameList>
      </b:Author>
    </b:Author>
    <b:Month>Feb</b:Month>
    <b:Volume>10</b:Volume>
    <b:Issue>1</b:Issue>
    <b:YearAccessed>2015</b:YearAccessed>
    <b:MonthAccessed>November</b:MonthAccessed>
    <b:DayAccessed>18</b:DayAccessed>
    <b:DOI>http://dx.doi.org/10.1111/j.1440-172X.2003.00457.x</b:DOI>
    <b:RefOrder>2</b:RefOrder>
  </b:Source>
  <b:Source>
    <b:Tag>Bea07</b:Tag>
    <b:SourceType>JournalArticle</b:SourceType>
    <b:Guid>{12E4F245-6B7B-401B-B2F3-1EE8FA93AC80}</b:Guid>
    <b:Title>A controlled trial of universal gloving versus contact precautions for preventing the transmission of multidrug-resistant organisms</b:Title>
    <b:Year>2007</b:Year>
    <b:JournalName>American Journal of Infection Control</b:JournalName>
    <b:Pages>650-655</b:Pages>
    <b:Author>
      <b:Author>
        <b:NameList>
          <b:Person>
            <b:Last>Bearman</b:Last>
            <b:First>GML</b:First>
          </b:Person>
          <b:Person>
            <b:Last>Marra</b:Last>
            <b:First>AR</b:First>
          </b:Person>
          <b:Person>
            <b:Last>Sessler</b:Last>
            <b:First>CN</b:First>
          </b:Person>
          <b:Person>
            <b:Last>Smith</b:Last>
            <b:First>WR</b:First>
          </b:Person>
          <b:Person>
            <b:Last>Rosato</b:Last>
            <b:First>A</b:First>
          </b:Person>
          <b:Person>
            <b:Last>Laplante</b:Last>
            <b:First>JK</b:First>
          </b:Person>
          <b:Person>
            <b:Last>...</b:Last>
          </b:Person>
          <b:Person>
            <b:Last>Edmond</b:Last>
            <b:First>MB</b:First>
          </b:Person>
        </b:NameList>
      </b:Author>
    </b:Author>
    <b:Month>Dec</b:Month>
    <b:Volume>35</b:Volume>
    <b:Issue>10</b:Issue>
    <b:YearAccessed>2015</b:YearAccessed>
    <b:MonthAccessed>November</b:MonthAccessed>
    <b:DayAccessed>16</b:DayAccessed>
    <b:DOI>http://dx.doi.org/10.1016/j.ajic.2007.02.011</b:DOI>
    <b:RefOrder>3</b:RefOrder>
  </b:Source>
  <b:Source>
    <b:Tag>Kam09</b:Tag>
    <b:SourceType>JournalArticle</b:SourceType>
    <b:Guid>{64FECFBA-9F5E-42C7-B34B-3A6C1DE21608}</b:Guid>
    <b:Title>Hand hygiene for the prevention of nosocomial infections</b:Title>
    <b:JournalName>Deutsches Aerzteblatt International</b:JournalName>
    <b:Year>2009</b:Year>
    <b:Pages>649-655</b:Pages>
    <b:Author>
      <b:Author>
        <b:NameList>
          <b:Person>
            <b:Last>Kampf</b:Last>
            <b:First>G</b:First>
          </b:Person>
          <b:Person>
            <b:Last>Loffler</b:Last>
            <b:First>H</b:First>
          </b:Person>
          <b:Person>
            <b:Last>Gastmeier</b:Last>
            <b:First>P</b:First>
          </b:Person>
        </b:NameList>
      </b:Author>
    </b:Author>
    <b:Month>October</b:Month>
    <b:Day>2</b:Day>
    <b:Volume>106</b:Volume>
    <b:Issue>40</b:Issue>
    <b:YearAccessed>2015</b:YearAccessed>
    <b:MonthAccessed>November </b:MonthAccessed>
    <b:DayAccessed>14</b:DayAccessed>
    <b:DOI>http://dx.doi.org/10.3238/arztebl.2009.0649 .</b:DOI>
    <b:RefOrder>4</b:RefOrder>
  </b:Source>
</b:Sources>
</file>

<file path=customXml/itemProps1.xml><?xml version="1.0" encoding="utf-8"?>
<ds:datastoreItem xmlns:ds="http://schemas.openxmlformats.org/officeDocument/2006/customXml" ds:itemID="{27C91B77-C19B-594E-9BF4-0BDBBBF60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1933</Words>
  <Characters>11021</Characters>
  <Application>Microsoft Macintosh Word</Application>
  <DocSecurity>0</DocSecurity>
  <Lines>91</Lines>
  <Paragraphs>25</Paragraphs>
  <ScaleCrop>false</ScaleCrop>
  <Company/>
  <LinksUpToDate>false</LinksUpToDate>
  <CharactersWithSpaces>12929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Kola Oke</dc:creator>
  <cp:keywords/>
  <dc:description/>
  <cp:lastModifiedBy>Kola Oke</cp:lastModifiedBy>
  <cp:revision>1</cp:revision>
  <dcterms:created xsi:type="dcterms:W3CDTF">2016-11-16T05:40:00Z</dcterms:created>
  <dcterms:modified xsi:type="dcterms:W3CDTF">2016-11-16T05:47:00Z</dcterms:modified>
</cp:coreProperties>
</file>